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D9388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DVN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77B4F">
        <w:rPr>
          <w:rFonts w:ascii="Arial" w:hAnsi="Arial" w:cs="Arial"/>
          <w:b/>
          <w:sz w:val="20"/>
          <w:szCs w:val="20"/>
        </w:rPr>
        <w:t>Annual General Mandate 2020</w:t>
      </w:r>
      <w:r w:rsidR="000D0CFB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93881">
        <w:rPr>
          <w:rFonts w:ascii="Arial" w:hAnsi="Arial" w:cs="Arial"/>
          <w:sz w:val="20"/>
          <w:szCs w:val="20"/>
        </w:rPr>
        <w:t>28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93881" w:rsidRPr="00D93881">
        <w:rPr>
          <w:rFonts w:ascii="Arial" w:hAnsi="Arial" w:cs="Arial"/>
          <w:sz w:val="20"/>
          <w:szCs w:val="20"/>
        </w:rPr>
        <w:t>Viet Nam Pharmaceutical Corporation - Joint Stock Company</w:t>
      </w:r>
      <w:r w:rsidR="00D9388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F77B4F" w:rsidRPr="00F77B4F">
        <w:rPr>
          <w:rFonts w:ascii="Arial" w:hAnsi="Arial" w:cs="Arial"/>
          <w:sz w:val="20"/>
          <w:szCs w:val="20"/>
        </w:rPr>
        <w:t xml:space="preserve">Annual General Mandate 2020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D93881" w:rsidRDefault="00D93881" w:rsidP="00D9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3881">
        <w:rPr>
          <w:rFonts w:ascii="Arial" w:hAnsi="Arial" w:cs="Arial"/>
          <w:sz w:val="20"/>
          <w:szCs w:val="20"/>
        </w:rPr>
        <w:t>Article 1</w:t>
      </w:r>
      <w:r>
        <w:rPr>
          <w:rFonts w:ascii="Arial" w:hAnsi="Arial" w:cs="Arial"/>
          <w:sz w:val="20"/>
          <w:szCs w:val="20"/>
        </w:rPr>
        <w:t>: A</w:t>
      </w:r>
      <w:r w:rsidRPr="00D93881">
        <w:rPr>
          <w:rFonts w:ascii="Arial" w:hAnsi="Arial" w:cs="Arial"/>
          <w:sz w:val="20"/>
          <w:szCs w:val="20"/>
        </w:rPr>
        <w:t xml:space="preserve">pprove the Report of the Board of Directors and the </w:t>
      </w:r>
      <w:r>
        <w:rPr>
          <w:rFonts w:ascii="Arial" w:hAnsi="Arial" w:cs="Arial"/>
          <w:sz w:val="20"/>
          <w:szCs w:val="20"/>
        </w:rPr>
        <w:t>Management Board</w:t>
      </w:r>
      <w:r w:rsidRPr="00D93881">
        <w:rPr>
          <w:rFonts w:ascii="Arial" w:hAnsi="Arial" w:cs="Arial"/>
          <w:sz w:val="20"/>
          <w:szCs w:val="20"/>
        </w:rPr>
        <w:t xml:space="preserve"> on the business results of 2019 a</w:t>
      </w:r>
      <w:r>
        <w:rPr>
          <w:rFonts w:ascii="Arial" w:hAnsi="Arial" w:cs="Arial"/>
          <w:sz w:val="20"/>
          <w:szCs w:val="20"/>
        </w:rPr>
        <w:t xml:space="preserve">nd the operation plan for 2020 </w:t>
      </w:r>
    </w:p>
    <w:p w:rsidR="00D93881" w:rsidRDefault="00D93881" w:rsidP="00D9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D93881">
        <w:rPr>
          <w:rFonts w:ascii="Arial" w:hAnsi="Arial" w:cs="Arial"/>
          <w:sz w:val="20"/>
          <w:szCs w:val="20"/>
        </w:rPr>
        <w:t xml:space="preserve"> Approve the </w:t>
      </w:r>
      <w:r w:rsidRPr="00D93881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 xml:space="preserve"> </w:t>
      </w:r>
      <w:r w:rsidRPr="00D93881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 xml:space="preserve">port of the Supervisory Board </w:t>
      </w:r>
    </w:p>
    <w:p w:rsidR="00D93881" w:rsidRDefault="00D93881" w:rsidP="00D9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3881"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z w:val="20"/>
          <w:szCs w:val="20"/>
        </w:rPr>
        <w:t>ticle 3: Approving the promulgation of internal r</w:t>
      </w:r>
      <w:r w:rsidRPr="00D93881">
        <w:rPr>
          <w:rFonts w:ascii="Arial" w:hAnsi="Arial" w:cs="Arial"/>
          <w:sz w:val="20"/>
          <w:szCs w:val="20"/>
        </w:rPr>
        <w:t xml:space="preserve">egulation on corporate governance of Vietnam Pharmaceutical Corporation </w:t>
      </w:r>
      <w:r>
        <w:rPr>
          <w:rFonts w:ascii="Arial" w:hAnsi="Arial" w:cs="Arial"/>
          <w:sz w:val="20"/>
          <w:szCs w:val="20"/>
        </w:rPr>
        <w:t>–</w:t>
      </w:r>
      <w:r w:rsidRPr="00D938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Joint Stock Company </w:t>
      </w:r>
    </w:p>
    <w:p w:rsidR="00D93881" w:rsidRDefault="00D93881" w:rsidP="00D9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</w:t>
      </w:r>
      <w:r w:rsidRPr="00D93881">
        <w:rPr>
          <w:rFonts w:ascii="Arial" w:hAnsi="Arial" w:cs="Arial"/>
          <w:sz w:val="20"/>
          <w:szCs w:val="20"/>
        </w:rPr>
        <w:t xml:space="preserve"> Approving </w:t>
      </w:r>
      <w:r>
        <w:rPr>
          <w:rFonts w:ascii="Arial" w:hAnsi="Arial" w:cs="Arial"/>
          <w:sz w:val="20"/>
          <w:szCs w:val="20"/>
        </w:rPr>
        <w:t>the audited financial statement</w:t>
      </w:r>
      <w:r w:rsidRPr="00D93881">
        <w:rPr>
          <w:rFonts w:ascii="Arial" w:hAnsi="Arial" w:cs="Arial"/>
          <w:sz w:val="20"/>
          <w:szCs w:val="20"/>
        </w:rPr>
        <w:t xml:space="preserve"> for the period from January</w:t>
      </w:r>
      <w:r>
        <w:rPr>
          <w:rFonts w:ascii="Arial" w:hAnsi="Arial" w:cs="Arial"/>
          <w:sz w:val="20"/>
          <w:szCs w:val="20"/>
        </w:rPr>
        <w:t xml:space="preserve"> 1, 2019 to December 31, 2019</w:t>
      </w:r>
    </w:p>
    <w:p w:rsidR="00D93881" w:rsidRDefault="00D93881" w:rsidP="00D9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5: </w:t>
      </w:r>
      <w:r w:rsidRPr="00D93881">
        <w:rPr>
          <w:rFonts w:ascii="Arial" w:hAnsi="Arial" w:cs="Arial"/>
          <w:sz w:val="20"/>
          <w:szCs w:val="20"/>
        </w:rPr>
        <w:t xml:space="preserve">Approving the Statement on the profit distribution plan for 2019 and the plan for 2020: </w:t>
      </w:r>
    </w:p>
    <w:p w:rsidR="00D93881" w:rsidRDefault="00D93881" w:rsidP="00D9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3881">
        <w:rPr>
          <w:rFonts w:ascii="Arial" w:hAnsi="Arial" w:cs="Arial"/>
          <w:sz w:val="20"/>
          <w:szCs w:val="20"/>
        </w:rPr>
        <w:t>1. Imp</w:t>
      </w:r>
      <w:r>
        <w:rPr>
          <w:rFonts w:ascii="Arial" w:hAnsi="Arial" w:cs="Arial"/>
          <w:sz w:val="20"/>
          <w:szCs w:val="20"/>
        </w:rPr>
        <w:t>lementing profit distribution for</w:t>
      </w:r>
      <w:r w:rsidRPr="00D93881">
        <w:rPr>
          <w:rFonts w:ascii="Arial" w:hAnsi="Arial" w:cs="Arial"/>
          <w:sz w:val="20"/>
          <w:szCs w:val="20"/>
        </w:rPr>
        <w:t xml:space="preserve"> 2019: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300"/>
        <w:gridCol w:w="2718"/>
      </w:tblGrid>
      <w:tr w:rsidR="00D93881" w:rsidTr="00D93881">
        <w:tc>
          <w:tcPr>
            <w:tcW w:w="558" w:type="dxa"/>
          </w:tcPr>
          <w:p w:rsidR="00D93881" w:rsidRDefault="00D93881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00" w:type="dxa"/>
          </w:tcPr>
          <w:p w:rsidR="00D93881" w:rsidRDefault="00D93881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718" w:type="dxa"/>
          </w:tcPr>
          <w:p w:rsidR="00D93881" w:rsidRDefault="00D93881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(VND)</w:t>
            </w:r>
          </w:p>
        </w:tc>
      </w:tr>
      <w:tr w:rsidR="00D93881" w:rsidTr="00D93881">
        <w:tc>
          <w:tcPr>
            <w:tcW w:w="558" w:type="dxa"/>
          </w:tcPr>
          <w:p w:rsidR="00D93881" w:rsidRDefault="00D93881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D93881" w:rsidRDefault="00D93881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Retained after-tax profit of the previous year</w:t>
            </w:r>
          </w:p>
        </w:tc>
        <w:tc>
          <w:tcPr>
            <w:tcW w:w="2718" w:type="dxa"/>
          </w:tcPr>
          <w:p w:rsidR="00D93881" w:rsidRDefault="00D93881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881">
              <w:rPr>
                <w:rFonts w:ascii="Arial" w:hAnsi="Arial" w:cs="Arial"/>
                <w:sz w:val="20"/>
                <w:szCs w:val="20"/>
              </w:rPr>
              <w:t>57,257,324,077</w:t>
            </w:r>
          </w:p>
        </w:tc>
      </w:tr>
      <w:tr w:rsidR="00D93881" w:rsidTr="00D93881">
        <w:tc>
          <w:tcPr>
            <w:tcW w:w="558" w:type="dxa"/>
          </w:tcPr>
          <w:p w:rsidR="00D93881" w:rsidRDefault="00D93881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D93881" w:rsidRDefault="00D93881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After-tax profit of 2019</w:t>
            </w:r>
          </w:p>
        </w:tc>
        <w:tc>
          <w:tcPr>
            <w:tcW w:w="2718" w:type="dxa"/>
          </w:tcPr>
          <w:p w:rsidR="00D93881" w:rsidRDefault="00D93881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881">
              <w:rPr>
                <w:rFonts w:ascii="Arial" w:hAnsi="Arial" w:cs="Arial"/>
                <w:sz w:val="20"/>
                <w:szCs w:val="20"/>
              </w:rPr>
              <w:t>172,840,549,399</w:t>
            </w:r>
          </w:p>
        </w:tc>
      </w:tr>
      <w:tr w:rsidR="00D93881" w:rsidTr="00D93881">
        <w:tc>
          <w:tcPr>
            <w:tcW w:w="558" w:type="dxa"/>
          </w:tcPr>
          <w:p w:rsidR="00D93881" w:rsidRDefault="00D93881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D93881" w:rsidRDefault="00D93881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to the Welfare and Reward Fund and reward fund for managers, in which:</w:t>
            </w:r>
          </w:p>
        </w:tc>
        <w:tc>
          <w:tcPr>
            <w:tcW w:w="2718" w:type="dxa"/>
          </w:tcPr>
          <w:p w:rsidR="00D93881" w:rsidRDefault="00D93881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881">
              <w:rPr>
                <w:rFonts w:ascii="Arial" w:hAnsi="Arial" w:cs="Arial"/>
                <w:sz w:val="20"/>
                <w:szCs w:val="20"/>
              </w:rPr>
              <w:t>5,248,760,622</w:t>
            </w:r>
          </w:p>
        </w:tc>
      </w:tr>
      <w:tr w:rsidR="00D93881" w:rsidTr="00D93881">
        <w:tc>
          <w:tcPr>
            <w:tcW w:w="558" w:type="dxa"/>
          </w:tcPr>
          <w:p w:rsidR="00D93881" w:rsidRDefault="00D93881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881"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6300" w:type="dxa"/>
          </w:tcPr>
          <w:p w:rsidR="00D93881" w:rsidRDefault="00D93881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881">
              <w:rPr>
                <w:rFonts w:ascii="Arial" w:hAnsi="Arial" w:cs="Arial"/>
                <w:sz w:val="20"/>
                <w:szCs w:val="20"/>
              </w:rPr>
              <w:t>Bonus fund</w:t>
            </w:r>
          </w:p>
        </w:tc>
        <w:tc>
          <w:tcPr>
            <w:tcW w:w="2718" w:type="dxa"/>
          </w:tcPr>
          <w:p w:rsidR="00D93881" w:rsidRDefault="00D93881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881">
              <w:rPr>
                <w:rFonts w:ascii="Arial" w:hAnsi="Arial" w:cs="Arial"/>
                <w:sz w:val="20"/>
                <w:szCs w:val="20"/>
              </w:rPr>
              <w:t>3,852,928,498</w:t>
            </w:r>
          </w:p>
        </w:tc>
      </w:tr>
      <w:tr w:rsidR="00D93881" w:rsidTr="00D93881">
        <w:tc>
          <w:tcPr>
            <w:tcW w:w="558" w:type="dxa"/>
          </w:tcPr>
          <w:p w:rsidR="00D93881" w:rsidRDefault="00D93881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6300" w:type="dxa"/>
          </w:tcPr>
          <w:p w:rsidR="00D93881" w:rsidRDefault="00D93881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Welfare fund</w:t>
            </w:r>
          </w:p>
        </w:tc>
        <w:tc>
          <w:tcPr>
            <w:tcW w:w="2718" w:type="dxa"/>
          </w:tcPr>
          <w:p w:rsidR="00D93881" w:rsidRDefault="00D93881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963,232,124</w:t>
            </w:r>
          </w:p>
        </w:tc>
      </w:tr>
      <w:tr w:rsidR="00D93881" w:rsidTr="00D93881">
        <w:tc>
          <w:tcPr>
            <w:tcW w:w="558" w:type="dxa"/>
          </w:tcPr>
          <w:p w:rsidR="00D93881" w:rsidRDefault="00D93881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6300" w:type="dxa"/>
          </w:tcPr>
          <w:p w:rsidR="00D93881" w:rsidRDefault="00D93881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eward fund for managers</w:t>
            </w:r>
          </w:p>
        </w:tc>
        <w:tc>
          <w:tcPr>
            <w:tcW w:w="2718" w:type="dxa"/>
          </w:tcPr>
          <w:p w:rsidR="00D93881" w:rsidRDefault="00D93881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432,600,000</w:t>
            </w:r>
          </w:p>
        </w:tc>
      </w:tr>
      <w:tr w:rsidR="00D93881" w:rsidTr="00D93881">
        <w:tc>
          <w:tcPr>
            <w:tcW w:w="558" w:type="dxa"/>
          </w:tcPr>
          <w:p w:rsidR="00D93881" w:rsidRDefault="00D93881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D93881" w:rsidRDefault="00D93881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(4%)</w:t>
            </w:r>
          </w:p>
        </w:tc>
        <w:tc>
          <w:tcPr>
            <w:tcW w:w="2718" w:type="dxa"/>
          </w:tcPr>
          <w:p w:rsidR="00D93881" w:rsidRDefault="00D93881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94,800,000,000</w:t>
            </w:r>
          </w:p>
        </w:tc>
      </w:tr>
      <w:tr w:rsidR="00D93881" w:rsidTr="00D93881">
        <w:tc>
          <w:tcPr>
            <w:tcW w:w="558" w:type="dxa"/>
          </w:tcPr>
          <w:p w:rsidR="00D93881" w:rsidRDefault="00D93881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D93881" w:rsidRDefault="00D93881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Remaining profit (= 1 + 2 – 3 – 4)</w:t>
            </w:r>
          </w:p>
        </w:tc>
        <w:tc>
          <w:tcPr>
            <w:tcW w:w="2718" w:type="dxa"/>
          </w:tcPr>
          <w:p w:rsidR="00D93881" w:rsidRDefault="00D93881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130,049,112,854</w:t>
            </w:r>
          </w:p>
        </w:tc>
      </w:tr>
    </w:tbl>
    <w:p w:rsidR="00D93881" w:rsidRDefault="00D93881" w:rsidP="00D9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0919" w:rsidRDefault="00D93881" w:rsidP="00D9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388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D93881">
        <w:rPr>
          <w:rFonts w:ascii="Arial" w:hAnsi="Arial" w:cs="Arial"/>
          <w:sz w:val="20"/>
          <w:szCs w:val="20"/>
        </w:rPr>
        <w:t>General Me</w:t>
      </w:r>
      <w:r>
        <w:rPr>
          <w:rFonts w:ascii="Arial" w:hAnsi="Arial" w:cs="Arial"/>
          <w:sz w:val="20"/>
          <w:szCs w:val="20"/>
        </w:rPr>
        <w:t>eting of Shareholders authorized</w:t>
      </w:r>
      <w:r w:rsidRPr="00D93881">
        <w:rPr>
          <w:rFonts w:ascii="Arial" w:hAnsi="Arial" w:cs="Arial"/>
          <w:sz w:val="20"/>
          <w:szCs w:val="20"/>
        </w:rPr>
        <w:t xml:space="preserve"> the Board of Directors to decid</w:t>
      </w:r>
      <w:r w:rsidR="00830919">
        <w:rPr>
          <w:rFonts w:ascii="Arial" w:hAnsi="Arial" w:cs="Arial"/>
          <w:sz w:val="20"/>
          <w:szCs w:val="20"/>
        </w:rPr>
        <w:t>e on the specific list for</w:t>
      </w:r>
      <w:r>
        <w:rPr>
          <w:rFonts w:ascii="Arial" w:hAnsi="Arial" w:cs="Arial"/>
          <w:sz w:val="20"/>
          <w:szCs w:val="20"/>
        </w:rPr>
        <w:t xml:space="preserve"> bonus</w:t>
      </w:r>
      <w:r w:rsidRPr="00D93881">
        <w:rPr>
          <w:rFonts w:ascii="Arial" w:hAnsi="Arial" w:cs="Arial"/>
          <w:sz w:val="20"/>
          <w:szCs w:val="20"/>
        </w:rPr>
        <w:t xml:space="preserve"> </w:t>
      </w:r>
      <w:r w:rsidR="00830919">
        <w:rPr>
          <w:rFonts w:ascii="Arial" w:hAnsi="Arial" w:cs="Arial"/>
          <w:sz w:val="20"/>
          <w:szCs w:val="20"/>
        </w:rPr>
        <w:t>of</w:t>
      </w:r>
      <w:r w:rsidRPr="00D93881">
        <w:rPr>
          <w:rFonts w:ascii="Arial" w:hAnsi="Arial" w:cs="Arial"/>
          <w:sz w:val="20"/>
          <w:szCs w:val="20"/>
        </w:rPr>
        <w:t xml:space="preserve"> the Board of Direct</w:t>
      </w:r>
      <w:r w:rsidR="00830919">
        <w:rPr>
          <w:rFonts w:ascii="Arial" w:hAnsi="Arial" w:cs="Arial"/>
          <w:sz w:val="20"/>
          <w:szCs w:val="20"/>
        </w:rPr>
        <w:t>ors and the Supervisory Board</w:t>
      </w:r>
    </w:p>
    <w:p w:rsidR="00830919" w:rsidRDefault="00830919" w:rsidP="00D9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93881" w:rsidRPr="00D9388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Management Board</w:t>
      </w:r>
      <w:r w:rsidR="00D93881" w:rsidRPr="00D93881">
        <w:rPr>
          <w:rFonts w:ascii="Arial" w:hAnsi="Arial" w:cs="Arial"/>
          <w:sz w:val="20"/>
          <w:szCs w:val="20"/>
        </w:rPr>
        <w:t xml:space="preserve"> decided the s</w:t>
      </w:r>
      <w:r>
        <w:rPr>
          <w:rFonts w:ascii="Arial" w:hAnsi="Arial" w:cs="Arial"/>
          <w:sz w:val="20"/>
          <w:szCs w:val="20"/>
        </w:rPr>
        <w:t>pecific list for bonus of</w:t>
      </w:r>
      <w:r w:rsidR="00D93881" w:rsidRPr="00D93881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Management Board</w:t>
      </w:r>
      <w:r w:rsidR="00D93881" w:rsidRPr="00D93881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employees</w:t>
      </w:r>
    </w:p>
    <w:p w:rsidR="00830919" w:rsidRDefault="00D93881" w:rsidP="00D9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3881">
        <w:rPr>
          <w:rFonts w:ascii="Arial" w:hAnsi="Arial" w:cs="Arial"/>
          <w:sz w:val="20"/>
          <w:szCs w:val="20"/>
        </w:rPr>
        <w:t>- The Board of Direct</w:t>
      </w:r>
      <w:r w:rsidR="00830919">
        <w:rPr>
          <w:rFonts w:ascii="Arial" w:hAnsi="Arial" w:cs="Arial"/>
          <w:sz w:val="20"/>
          <w:szCs w:val="20"/>
        </w:rPr>
        <w:t>ors implements the procedures for</w:t>
      </w:r>
      <w:r w:rsidRPr="00D93881">
        <w:rPr>
          <w:rFonts w:ascii="Arial" w:hAnsi="Arial" w:cs="Arial"/>
          <w:sz w:val="20"/>
          <w:szCs w:val="20"/>
        </w:rPr>
        <w:t xml:space="preserve"> </w:t>
      </w:r>
      <w:r w:rsidR="00830919">
        <w:rPr>
          <w:rFonts w:ascii="Arial" w:hAnsi="Arial" w:cs="Arial"/>
          <w:sz w:val="20"/>
          <w:szCs w:val="20"/>
        </w:rPr>
        <w:t>dividend payment</w:t>
      </w:r>
      <w:r w:rsidRPr="00D93881">
        <w:rPr>
          <w:rFonts w:ascii="Arial" w:hAnsi="Arial" w:cs="Arial"/>
          <w:sz w:val="20"/>
          <w:szCs w:val="20"/>
        </w:rPr>
        <w:t xml:space="preserve"> to shareholders in accorda</w:t>
      </w:r>
      <w:r w:rsidR="00830919">
        <w:rPr>
          <w:rFonts w:ascii="Arial" w:hAnsi="Arial" w:cs="Arial"/>
          <w:sz w:val="20"/>
          <w:szCs w:val="20"/>
        </w:rPr>
        <w:t>nce with the provisions of law</w:t>
      </w:r>
    </w:p>
    <w:p w:rsidR="00830919" w:rsidRDefault="00830919" w:rsidP="00D9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Profit distribution plan for</w:t>
      </w:r>
      <w:r w:rsidR="00D93881" w:rsidRPr="00D93881">
        <w:rPr>
          <w:rFonts w:ascii="Arial" w:hAnsi="Arial" w:cs="Arial"/>
          <w:sz w:val="20"/>
          <w:szCs w:val="20"/>
        </w:rPr>
        <w:t xml:space="preserve"> 2020: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6836"/>
        <w:gridCol w:w="2268"/>
      </w:tblGrid>
      <w:tr w:rsidR="00830919" w:rsidTr="00830919">
        <w:tc>
          <w:tcPr>
            <w:tcW w:w="472" w:type="dxa"/>
          </w:tcPr>
          <w:p w:rsidR="00830919" w:rsidRDefault="00830919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</w:t>
            </w:r>
          </w:p>
        </w:tc>
        <w:tc>
          <w:tcPr>
            <w:tcW w:w="6836" w:type="dxa"/>
          </w:tcPr>
          <w:p w:rsidR="00830919" w:rsidRDefault="00830919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268" w:type="dxa"/>
          </w:tcPr>
          <w:p w:rsidR="00830919" w:rsidRDefault="00830919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(VND)</w:t>
            </w:r>
          </w:p>
        </w:tc>
      </w:tr>
      <w:tr w:rsidR="00830919" w:rsidTr="00830919">
        <w:tc>
          <w:tcPr>
            <w:tcW w:w="472" w:type="dxa"/>
          </w:tcPr>
          <w:p w:rsidR="00830919" w:rsidRDefault="00830919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6" w:type="dxa"/>
          </w:tcPr>
          <w:p w:rsidR="00830919" w:rsidRDefault="00830919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Retained profit of 2019</w:t>
            </w:r>
          </w:p>
        </w:tc>
        <w:tc>
          <w:tcPr>
            <w:tcW w:w="2268" w:type="dxa"/>
          </w:tcPr>
          <w:p w:rsidR="00830919" w:rsidRDefault="00830919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130,049,112,854</w:t>
            </w:r>
          </w:p>
        </w:tc>
      </w:tr>
      <w:tr w:rsidR="00830919" w:rsidTr="00830919">
        <w:tc>
          <w:tcPr>
            <w:tcW w:w="472" w:type="dxa"/>
          </w:tcPr>
          <w:p w:rsidR="00830919" w:rsidRDefault="00830919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36" w:type="dxa"/>
          </w:tcPr>
          <w:p w:rsidR="00830919" w:rsidRDefault="00830919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After-tax profit of the holding company of 2020</w:t>
            </w:r>
          </w:p>
        </w:tc>
        <w:tc>
          <w:tcPr>
            <w:tcW w:w="2268" w:type="dxa"/>
          </w:tcPr>
          <w:p w:rsidR="00830919" w:rsidRDefault="00830919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881">
              <w:rPr>
                <w:rFonts w:ascii="Arial" w:hAnsi="Arial" w:cs="Arial"/>
                <w:sz w:val="20"/>
                <w:szCs w:val="20"/>
              </w:rPr>
              <w:t>113,000,000,000</w:t>
            </w:r>
          </w:p>
        </w:tc>
      </w:tr>
      <w:tr w:rsidR="00830919" w:rsidTr="00830919">
        <w:tc>
          <w:tcPr>
            <w:tcW w:w="472" w:type="dxa"/>
          </w:tcPr>
          <w:p w:rsidR="00830919" w:rsidRDefault="00830919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36" w:type="dxa"/>
          </w:tcPr>
          <w:p w:rsidR="00830919" w:rsidRDefault="00830919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to the Welfare and Reward Fund and reward fund for managers (based on Decree 53/ 2016/ ND – CP)</w:t>
            </w:r>
          </w:p>
        </w:tc>
        <w:tc>
          <w:tcPr>
            <w:tcW w:w="2268" w:type="dxa"/>
          </w:tcPr>
          <w:p w:rsidR="00830919" w:rsidRDefault="00830919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5,300,000,000</w:t>
            </w:r>
          </w:p>
        </w:tc>
      </w:tr>
      <w:tr w:rsidR="00830919" w:rsidTr="00830919">
        <w:tc>
          <w:tcPr>
            <w:tcW w:w="472" w:type="dxa"/>
          </w:tcPr>
          <w:p w:rsidR="00830919" w:rsidRDefault="00830919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36" w:type="dxa"/>
          </w:tcPr>
          <w:p w:rsidR="00830919" w:rsidRDefault="00830919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Dividend: The Board of Directors will submit the annual General Meeting of Shareholders of 2020 for consideration and approval (expected a minimum of 4% equal to 2019)</w:t>
            </w:r>
          </w:p>
        </w:tc>
        <w:tc>
          <w:tcPr>
            <w:tcW w:w="2268" w:type="dxa"/>
          </w:tcPr>
          <w:p w:rsidR="00830919" w:rsidRDefault="00830919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94,800,000,000</w:t>
            </w:r>
          </w:p>
        </w:tc>
      </w:tr>
      <w:tr w:rsidR="00830919" w:rsidTr="00830919">
        <w:tc>
          <w:tcPr>
            <w:tcW w:w="472" w:type="dxa"/>
          </w:tcPr>
          <w:p w:rsidR="00830919" w:rsidRDefault="00830919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36" w:type="dxa"/>
          </w:tcPr>
          <w:p w:rsidR="00830919" w:rsidRDefault="00830919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Retained profit ( = 1 + 2 – 3 – 4)</w:t>
            </w:r>
          </w:p>
        </w:tc>
        <w:tc>
          <w:tcPr>
            <w:tcW w:w="2268" w:type="dxa"/>
          </w:tcPr>
          <w:p w:rsidR="00830919" w:rsidRDefault="00830919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142,949,112,854</w:t>
            </w:r>
          </w:p>
        </w:tc>
      </w:tr>
    </w:tbl>
    <w:p w:rsidR="00830919" w:rsidRDefault="00830919" w:rsidP="00D9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0919" w:rsidRDefault="00830919" w:rsidP="00D9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6: Approve the Statement on salary and r</w:t>
      </w:r>
      <w:r w:rsidRPr="00830919">
        <w:rPr>
          <w:rFonts w:ascii="Arial" w:hAnsi="Arial" w:cs="Arial"/>
          <w:sz w:val="20"/>
          <w:szCs w:val="20"/>
        </w:rPr>
        <w:t xml:space="preserve">emuneration for Managers, Company </w:t>
      </w:r>
      <w:r>
        <w:rPr>
          <w:rFonts w:ascii="Arial" w:hAnsi="Arial" w:cs="Arial"/>
          <w:sz w:val="20"/>
          <w:szCs w:val="20"/>
        </w:rPr>
        <w:t>secretary in 2019 and approve the salary and r</w:t>
      </w:r>
      <w:r w:rsidRPr="00830919">
        <w:rPr>
          <w:rFonts w:ascii="Arial" w:hAnsi="Arial" w:cs="Arial"/>
          <w:sz w:val="20"/>
          <w:szCs w:val="20"/>
        </w:rPr>
        <w:t xml:space="preserve">emuneration Plan for the Board of Directors, </w:t>
      </w:r>
      <w:r>
        <w:rPr>
          <w:rFonts w:ascii="Arial" w:hAnsi="Arial" w:cs="Arial"/>
          <w:sz w:val="20"/>
          <w:szCs w:val="20"/>
        </w:rPr>
        <w:t>Supervisor Board</w:t>
      </w:r>
      <w:r w:rsidRPr="00830919">
        <w:rPr>
          <w:rFonts w:ascii="Arial" w:hAnsi="Arial" w:cs="Arial"/>
          <w:sz w:val="20"/>
          <w:szCs w:val="20"/>
        </w:rPr>
        <w:t xml:space="preserve">, General Director in 2020, specifically: </w:t>
      </w:r>
    </w:p>
    <w:p w:rsidR="00830919" w:rsidRDefault="00830919" w:rsidP="00D9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0919">
        <w:rPr>
          <w:rFonts w:ascii="Arial" w:hAnsi="Arial" w:cs="Arial"/>
          <w:sz w:val="20"/>
          <w:szCs w:val="20"/>
        </w:rPr>
        <w:t xml:space="preserve">1. Salary fund, remuneration for managers, company secretaries in 2019: </w:t>
      </w:r>
    </w:p>
    <w:p w:rsidR="00830919" w:rsidRDefault="00830919" w:rsidP="00D9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 Implemented salary fund for </w:t>
      </w:r>
      <w:r w:rsidRPr="00830919">
        <w:rPr>
          <w:rFonts w:ascii="Arial" w:hAnsi="Arial" w:cs="Arial"/>
          <w:sz w:val="20"/>
          <w:szCs w:val="20"/>
        </w:rPr>
        <w:t xml:space="preserve">managers in 2019: </w:t>
      </w:r>
      <w:r w:rsidRPr="00830919">
        <w:rPr>
          <w:rFonts w:ascii="Arial" w:hAnsi="Arial" w:cs="Arial"/>
          <w:sz w:val="20"/>
          <w:szCs w:val="20"/>
        </w:rPr>
        <w:t>VND</w:t>
      </w:r>
      <w:r w:rsidRPr="00830919">
        <w:rPr>
          <w:rFonts w:ascii="Arial" w:hAnsi="Arial" w:cs="Arial"/>
          <w:sz w:val="20"/>
          <w:szCs w:val="20"/>
        </w:rPr>
        <w:t xml:space="preserve"> 3,460,800,000 </w:t>
      </w:r>
    </w:p>
    <w:p w:rsidR="006374B1" w:rsidRDefault="00830919" w:rsidP="00D9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 w:rsidRPr="00830919">
        <w:rPr>
          <w:rFonts w:ascii="Arial" w:hAnsi="Arial" w:cs="Arial"/>
          <w:sz w:val="20"/>
          <w:szCs w:val="20"/>
        </w:rPr>
        <w:t xml:space="preserve"> Remuneration fund for manage</w:t>
      </w:r>
      <w:r w:rsidR="006374B1">
        <w:rPr>
          <w:rFonts w:ascii="Arial" w:hAnsi="Arial" w:cs="Arial"/>
          <w:sz w:val="20"/>
          <w:szCs w:val="20"/>
        </w:rPr>
        <w:t>rs and secretary of the C</w:t>
      </w:r>
      <w:r w:rsidRPr="00830919">
        <w:rPr>
          <w:rFonts w:ascii="Arial" w:hAnsi="Arial" w:cs="Arial"/>
          <w:sz w:val="20"/>
          <w:szCs w:val="20"/>
        </w:rPr>
        <w:t xml:space="preserve">ompany in 2019: VND 444,000,000 </w:t>
      </w:r>
    </w:p>
    <w:p w:rsidR="006374B1" w:rsidRDefault="00830919" w:rsidP="00D9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0919">
        <w:rPr>
          <w:rFonts w:ascii="Arial" w:hAnsi="Arial" w:cs="Arial"/>
          <w:sz w:val="20"/>
          <w:szCs w:val="20"/>
        </w:rPr>
        <w:t xml:space="preserve">2. Salary and remuneration plan for the Board of Directors, Supervisory Board, and General Director in 2020: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374B1" w:rsidTr="006374B1">
        <w:tc>
          <w:tcPr>
            <w:tcW w:w="3192" w:type="dxa"/>
          </w:tcPr>
          <w:p w:rsidR="006374B1" w:rsidRDefault="006374B1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192" w:type="dxa"/>
          </w:tcPr>
          <w:p w:rsidR="006374B1" w:rsidRDefault="006374B1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Full-time</w:t>
            </w:r>
          </w:p>
        </w:tc>
        <w:tc>
          <w:tcPr>
            <w:tcW w:w="3192" w:type="dxa"/>
          </w:tcPr>
          <w:p w:rsidR="006374B1" w:rsidRDefault="006374B1" w:rsidP="00D938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Part-time</w:t>
            </w:r>
          </w:p>
        </w:tc>
      </w:tr>
      <w:tr w:rsidR="006374B1" w:rsidTr="006374B1">
        <w:tc>
          <w:tcPr>
            <w:tcW w:w="3192" w:type="dxa"/>
          </w:tcPr>
          <w:p w:rsidR="006374B1" w:rsidRDefault="006374B1" w:rsidP="006374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the Board of Directors </w:t>
            </w:r>
          </w:p>
        </w:tc>
        <w:tc>
          <w:tcPr>
            <w:tcW w:w="3192" w:type="dxa"/>
          </w:tcPr>
          <w:p w:rsidR="006374B1" w:rsidRDefault="006374B1" w:rsidP="006374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6374B1" w:rsidRDefault="006374B1" w:rsidP="006374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20,000,000/ month</w:t>
            </w:r>
          </w:p>
        </w:tc>
      </w:tr>
      <w:tr w:rsidR="006374B1" w:rsidTr="006374B1">
        <w:tc>
          <w:tcPr>
            <w:tcW w:w="3192" w:type="dxa"/>
          </w:tcPr>
          <w:p w:rsidR="006374B1" w:rsidRDefault="006374B1" w:rsidP="006374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the Board of Directors </w:t>
            </w:r>
          </w:p>
        </w:tc>
        <w:tc>
          <w:tcPr>
            <w:tcW w:w="3192" w:type="dxa"/>
          </w:tcPr>
          <w:p w:rsidR="006374B1" w:rsidRDefault="006374B1" w:rsidP="006374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57,500,000/ person/ month</w:t>
            </w:r>
          </w:p>
        </w:tc>
        <w:tc>
          <w:tcPr>
            <w:tcW w:w="3192" w:type="dxa"/>
          </w:tcPr>
          <w:p w:rsidR="006374B1" w:rsidRDefault="006374B1" w:rsidP="006374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VND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,000,000/ </w:t>
            </w:r>
            <w:r>
              <w:rPr>
                <w:rFonts w:ascii="Arial" w:hAnsi="Arial" w:cs="Arial"/>
                <w:sz w:val="20"/>
                <w:szCs w:val="20"/>
              </w:rPr>
              <w:t xml:space="preserve">person/ </w:t>
            </w:r>
            <w:r>
              <w:rPr>
                <w:rFonts w:ascii="Arial" w:hAnsi="Arial" w:cs="Arial"/>
                <w:sz w:val="20"/>
                <w:szCs w:val="20"/>
              </w:rPr>
              <w:t>month</w:t>
            </w:r>
          </w:p>
        </w:tc>
      </w:tr>
      <w:tr w:rsidR="006374B1" w:rsidTr="006374B1">
        <w:tc>
          <w:tcPr>
            <w:tcW w:w="3192" w:type="dxa"/>
          </w:tcPr>
          <w:p w:rsidR="006374B1" w:rsidRDefault="006374B1" w:rsidP="006374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of the Supervisor Board </w:t>
            </w:r>
          </w:p>
        </w:tc>
        <w:tc>
          <w:tcPr>
            <w:tcW w:w="3192" w:type="dxa"/>
          </w:tcPr>
          <w:p w:rsidR="006374B1" w:rsidRDefault="006374B1" w:rsidP="006374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VND 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  <w:r>
              <w:rPr>
                <w:rFonts w:ascii="Arial" w:hAnsi="Arial" w:cs="Arial"/>
                <w:sz w:val="20"/>
                <w:szCs w:val="20"/>
              </w:rPr>
              <w:t>,000,000/ person/ month</w:t>
            </w:r>
          </w:p>
        </w:tc>
        <w:tc>
          <w:tcPr>
            <w:tcW w:w="3192" w:type="dxa"/>
          </w:tcPr>
          <w:p w:rsidR="006374B1" w:rsidRDefault="006374B1" w:rsidP="006374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4B1" w:rsidTr="006374B1">
        <w:tc>
          <w:tcPr>
            <w:tcW w:w="3192" w:type="dxa"/>
          </w:tcPr>
          <w:p w:rsidR="006374B1" w:rsidRDefault="006374B1" w:rsidP="006374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the Supervisor Board </w:t>
            </w:r>
          </w:p>
        </w:tc>
        <w:tc>
          <w:tcPr>
            <w:tcW w:w="3192" w:type="dxa"/>
          </w:tcPr>
          <w:p w:rsidR="006374B1" w:rsidRDefault="006374B1" w:rsidP="006374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6374B1" w:rsidRDefault="006374B1" w:rsidP="006374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VND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,000,000/ person/ month</w:t>
            </w:r>
          </w:p>
        </w:tc>
      </w:tr>
    </w:tbl>
    <w:p w:rsidR="006374B1" w:rsidRDefault="006374B1" w:rsidP="00D9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74B1" w:rsidRDefault="006374B1" w:rsidP="00D9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74B1">
        <w:rPr>
          <w:rFonts w:ascii="Arial" w:hAnsi="Arial" w:cs="Arial"/>
          <w:sz w:val="20"/>
          <w:szCs w:val="20"/>
        </w:rPr>
        <w:t>- Salary of the G</w:t>
      </w:r>
      <w:r>
        <w:rPr>
          <w:rFonts w:ascii="Arial" w:hAnsi="Arial" w:cs="Arial"/>
          <w:sz w:val="20"/>
          <w:szCs w:val="20"/>
        </w:rPr>
        <w:t>eneral Director: VND 86,500,000/ month</w:t>
      </w:r>
    </w:p>
    <w:p w:rsidR="006374B1" w:rsidRDefault="006374B1" w:rsidP="00D9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74B1">
        <w:rPr>
          <w:rFonts w:ascii="Arial" w:hAnsi="Arial" w:cs="Arial"/>
          <w:sz w:val="20"/>
          <w:szCs w:val="20"/>
        </w:rPr>
        <w:t>- Remuneration for the C</w:t>
      </w:r>
      <w:r>
        <w:rPr>
          <w:rFonts w:ascii="Arial" w:hAnsi="Arial" w:cs="Arial"/>
          <w:sz w:val="20"/>
          <w:szCs w:val="20"/>
        </w:rPr>
        <w:t>ompany Secretary: VND 3,000,000/ person/ month</w:t>
      </w:r>
    </w:p>
    <w:p w:rsidR="006374B1" w:rsidRDefault="006374B1" w:rsidP="00D9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7: </w:t>
      </w:r>
      <w:r w:rsidRPr="006374B1">
        <w:rPr>
          <w:rFonts w:ascii="Arial" w:hAnsi="Arial" w:cs="Arial"/>
          <w:sz w:val="20"/>
          <w:szCs w:val="20"/>
        </w:rPr>
        <w:t xml:space="preserve">Approving the method of selecting </w:t>
      </w:r>
      <w:r>
        <w:rPr>
          <w:rFonts w:ascii="Arial" w:hAnsi="Arial" w:cs="Arial"/>
          <w:sz w:val="20"/>
          <w:szCs w:val="20"/>
        </w:rPr>
        <w:t>an independent auditing company for</w:t>
      </w:r>
      <w:r w:rsidRPr="006374B1">
        <w:rPr>
          <w:rFonts w:ascii="Arial" w:hAnsi="Arial" w:cs="Arial"/>
          <w:sz w:val="20"/>
          <w:szCs w:val="20"/>
        </w:rPr>
        <w:t xml:space="preserve"> 2020  </w:t>
      </w:r>
    </w:p>
    <w:p w:rsidR="006374B1" w:rsidRDefault="006374B1" w:rsidP="00D9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74B1">
        <w:rPr>
          <w:rFonts w:ascii="Arial" w:hAnsi="Arial" w:cs="Arial"/>
          <w:sz w:val="20"/>
          <w:szCs w:val="20"/>
        </w:rPr>
        <w:t xml:space="preserve">1. Approve the list of independent auditing firms for the Board of Directors to select </w:t>
      </w:r>
      <w:r>
        <w:rPr>
          <w:rFonts w:ascii="Arial" w:hAnsi="Arial" w:cs="Arial"/>
          <w:sz w:val="20"/>
          <w:szCs w:val="20"/>
        </w:rPr>
        <w:t>an</w:t>
      </w:r>
      <w:r w:rsidRPr="006374B1">
        <w:rPr>
          <w:rFonts w:ascii="Arial" w:hAnsi="Arial" w:cs="Arial"/>
          <w:sz w:val="20"/>
          <w:szCs w:val="20"/>
        </w:rPr>
        <w:t xml:space="preserve"> audit unit and review the financial statements of the Corporation in 2020: </w:t>
      </w:r>
    </w:p>
    <w:p w:rsidR="006374B1" w:rsidRDefault="006374B1" w:rsidP="00D9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Ernst &amp; Young Vietnam Co., Ltd</w:t>
      </w:r>
    </w:p>
    <w:p w:rsidR="006374B1" w:rsidRDefault="006374B1" w:rsidP="00D9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proofErr w:type="spellStart"/>
      <w:r w:rsidRPr="006374B1">
        <w:rPr>
          <w:rFonts w:ascii="Arial" w:hAnsi="Arial" w:cs="Arial"/>
          <w:sz w:val="20"/>
          <w:szCs w:val="20"/>
        </w:rPr>
        <w:t>Pricewaterhou</w:t>
      </w:r>
      <w:r>
        <w:rPr>
          <w:rFonts w:ascii="Arial" w:hAnsi="Arial" w:cs="Arial"/>
          <w:sz w:val="20"/>
          <w:szCs w:val="20"/>
        </w:rPr>
        <w:t>se</w:t>
      </w:r>
      <w:proofErr w:type="spellEnd"/>
      <w:r>
        <w:rPr>
          <w:rFonts w:ascii="Arial" w:hAnsi="Arial" w:cs="Arial"/>
          <w:sz w:val="20"/>
          <w:szCs w:val="20"/>
        </w:rPr>
        <w:t xml:space="preserve"> Coopers Vietnam Co., Ltd </w:t>
      </w:r>
    </w:p>
    <w:p w:rsidR="006374B1" w:rsidRDefault="006374B1" w:rsidP="00D9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374B1">
        <w:rPr>
          <w:rFonts w:ascii="Arial" w:hAnsi="Arial" w:cs="Arial"/>
          <w:sz w:val="20"/>
          <w:szCs w:val="20"/>
        </w:rPr>
        <w:t>KPMG Vietnam Company Lim</w:t>
      </w:r>
      <w:r>
        <w:rPr>
          <w:rFonts w:ascii="Arial" w:hAnsi="Arial" w:cs="Arial"/>
          <w:sz w:val="20"/>
          <w:szCs w:val="20"/>
        </w:rPr>
        <w:t>ited</w:t>
      </w:r>
    </w:p>
    <w:p w:rsidR="006374B1" w:rsidRDefault="006374B1" w:rsidP="00D9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Deloitte Vietnam Co., Ltd</w:t>
      </w:r>
    </w:p>
    <w:p w:rsidR="006374B1" w:rsidRDefault="006374B1" w:rsidP="00D9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6374B1">
        <w:rPr>
          <w:rFonts w:ascii="Arial" w:hAnsi="Arial" w:cs="Arial"/>
          <w:sz w:val="20"/>
          <w:szCs w:val="20"/>
        </w:rPr>
        <w:t xml:space="preserve"> Authorize the Board of Directors to select one of the above auditing companies to audit</w:t>
      </w:r>
      <w:r>
        <w:rPr>
          <w:rFonts w:ascii="Arial" w:hAnsi="Arial" w:cs="Arial"/>
          <w:sz w:val="20"/>
          <w:szCs w:val="20"/>
        </w:rPr>
        <w:t xml:space="preserve"> the annual financial statement, r</w:t>
      </w:r>
      <w:r w:rsidRPr="006374B1">
        <w:rPr>
          <w:rFonts w:ascii="Arial" w:hAnsi="Arial" w:cs="Arial"/>
          <w:sz w:val="20"/>
          <w:szCs w:val="20"/>
        </w:rPr>
        <w:t xml:space="preserve">eview the </w:t>
      </w:r>
      <w:r>
        <w:rPr>
          <w:rFonts w:ascii="Arial" w:hAnsi="Arial" w:cs="Arial"/>
          <w:sz w:val="20"/>
          <w:szCs w:val="20"/>
        </w:rPr>
        <w:t>semi-annual financial statement of the Company in the fiscal year of</w:t>
      </w:r>
      <w:r w:rsidRPr="006374B1">
        <w:rPr>
          <w:rFonts w:ascii="Arial" w:hAnsi="Arial" w:cs="Arial"/>
          <w:sz w:val="20"/>
          <w:szCs w:val="20"/>
        </w:rPr>
        <w:t xml:space="preserve"> 2020 finance according to current regu</w:t>
      </w:r>
      <w:r>
        <w:rPr>
          <w:rFonts w:ascii="Arial" w:hAnsi="Arial" w:cs="Arial"/>
          <w:sz w:val="20"/>
          <w:szCs w:val="20"/>
        </w:rPr>
        <w:t>lations</w:t>
      </w:r>
    </w:p>
    <w:p w:rsidR="00126AA0" w:rsidRDefault="00126AA0" w:rsidP="00D9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6AA0">
        <w:rPr>
          <w:rFonts w:ascii="Arial" w:hAnsi="Arial" w:cs="Arial"/>
          <w:sz w:val="20"/>
          <w:szCs w:val="20"/>
        </w:rPr>
        <w:t xml:space="preserve">In case of unsuccessful negotiation with the above auditing companies,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126AA0">
        <w:rPr>
          <w:rFonts w:ascii="Arial" w:hAnsi="Arial" w:cs="Arial"/>
          <w:sz w:val="20"/>
          <w:szCs w:val="20"/>
        </w:rPr>
        <w:t xml:space="preserve">General Meeting of Shareholders authorizes the Board of Directors to select the auditing company in the list of auditors approved by the Ministry of Finance and </w:t>
      </w:r>
      <w:r>
        <w:rPr>
          <w:rFonts w:ascii="Arial" w:hAnsi="Arial" w:cs="Arial"/>
          <w:sz w:val="20"/>
          <w:szCs w:val="20"/>
        </w:rPr>
        <w:t>the State Securities Committee</w:t>
      </w:r>
      <w:r w:rsidRPr="00126AA0">
        <w:rPr>
          <w:rFonts w:ascii="Arial" w:hAnsi="Arial" w:cs="Arial"/>
          <w:sz w:val="20"/>
          <w:szCs w:val="20"/>
        </w:rPr>
        <w:t xml:space="preserve"> to audit the </w:t>
      </w:r>
      <w:r>
        <w:rPr>
          <w:rFonts w:ascii="Arial" w:hAnsi="Arial" w:cs="Arial"/>
          <w:sz w:val="20"/>
          <w:szCs w:val="20"/>
        </w:rPr>
        <w:t>financial statement</w:t>
      </w:r>
      <w:r w:rsidRPr="00126AA0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>the Corporation as prescribed</w:t>
      </w:r>
    </w:p>
    <w:p w:rsidR="00126AA0" w:rsidRDefault="00126AA0" w:rsidP="00D9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8:</w:t>
      </w:r>
      <w:r w:rsidRPr="00126AA0">
        <w:rPr>
          <w:rFonts w:ascii="Arial" w:hAnsi="Arial" w:cs="Arial"/>
          <w:sz w:val="20"/>
          <w:szCs w:val="20"/>
        </w:rPr>
        <w:t xml:space="preserve"> Implementing provisions  </w:t>
      </w:r>
    </w:p>
    <w:p w:rsidR="00126AA0" w:rsidRDefault="00126AA0" w:rsidP="00D9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6AA0">
        <w:rPr>
          <w:rFonts w:ascii="Arial" w:hAnsi="Arial" w:cs="Arial"/>
          <w:sz w:val="20"/>
          <w:szCs w:val="20"/>
        </w:rPr>
        <w:t xml:space="preserve">1. This </w:t>
      </w:r>
      <w:r>
        <w:rPr>
          <w:rFonts w:ascii="Arial" w:hAnsi="Arial" w:cs="Arial"/>
          <w:sz w:val="20"/>
          <w:szCs w:val="20"/>
        </w:rPr>
        <w:t>annual General Mandate was</w:t>
      </w:r>
      <w:r w:rsidRPr="00126AA0">
        <w:rPr>
          <w:rFonts w:ascii="Arial" w:hAnsi="Arial" w:cs="Arial"/>
          <w:sz w:val="20"/>
          <w:szCs w:val="20"/>
        </w:rPr>
        <w:t xml:space="preserve"> approved by the Annual General Meeting of Shareholders </w:t>
      </w:r>
      <w:r>
        <w:rPr>
          <w:rFonts w:ascii="Arial" w:hAnsi="Arial" w:cs="Arial"/>
          <w:sz w:val="20"/>
          <w:szCs w:val="20"/>
        </w:rPr>
        <w:t xml:space="preserve">in 2020 </w:t>
      </w:r>
      <w:r w:rsidRPr="00126AA0">
        <w:rPr>
          <w:rFonts w:ascii="Arial" w:hAnsi="Arial" w:cs="Arial"/>
          <w:sz w:val="20"/>
          <w:szCs w:val="20"/>
        </w:rPr>
        <w:t xml:space="preserve">of Vietnam Pharmaceutical Corporation </w:t>
      </w:r>
      <w:r>
        <w:rPr>
          <w:rFonts w:ascii="Arial" w:hAnsi="Arial" w:cs="Arial"/>
          <w:sz w:val="20"/>
          <w:szCs w:val="20"/>
        </w:rPr>
        <w:t>–</w:t>
      </w:r>
      <w:r w:rsidRPr="00126A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Joint Stock Company. The annual General Mandate </w:t>
      </w:r>
      <w:r w:rsidRPr="00126AA0">
        <w:rPr>
          <w:rFonts w:ascii="Arial" w:hAnsi="Arial" w:cs="Arial"/>
          <w:sz w:val="20"/>
          <w:szCs w:val="20"/>
        </w:rPr>
        <w:t>take</w:t>
      </w:r>
      <w:r>
        <w:rPr>
          <w:rFonts w:ascii="Arial" w:hAnsi="Arial" w:cs="Arial"/>
          <w:sz w:val="20"/>
          <w:szCs w:val="20"/>
        </w:rPr>
        <w:t>s</w:t>
      </w:r>
      <w:r w:rsidRPr="00126AA0">
        <w:rPr>
          <w:rFonts w:ascii="Arial" w:hAnsi="Arial" w:cs="Arial"/>
          <w:sz w:val="20"/>
          <w:szCs w:val="20"/>
        </w:rPr>
        <w:t xml:space="preserve"> ef</w:t>
      </w:r>
      <w:r>
        <w:rPr>
          <w:rFonts w:ascii="Arial" w:hAnsi="Arial" w:cs="Arial"/>
          <w:sz w:val="20"/>
          <w:szCs w:val="20"/>
        </w:rPr>
        <w:t>fect from the date of signing</w:t>
      </w:r>
    </w:p>
    <w:p w:rsidR="00126AA0" w:rsidRDefault="00126AA0" w:rsidP="00D9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6AA0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The m</w:t>
      </w:r>
      <w:r w:rsidRPr="00126AA0">
        <w:rPr>
          <w:rFonts w:ascii="Arial" w:hAnsi="Arial" w:cs="Arial"/>
          <w:sz w:val="20"/>
          <w:szCs w:val="20"/>
        </w:rPr>
        <w:t xml:space="preserve">embers of the Board of Directors, Supervisory Board, </w:t>
      </w:r>
      <w:r>
        <w:rPr>
          <w:rFonts w:ascii="Arial" w:hAnsi="Arial" w:cs="Arial"/>
          <w:sz w:val="20"/>
          <w:szCs w:val="20"/>
        </w:rPr>
        <w:t>Management Board</w:t>
      </w:r>
      <w:r w:rsidRPr="00126AA0">
        <w:rPr>
          <w:rFonts w:ascii="Arial" w:hAnsi="Arial" w:cs="Arial"/>
          <w:sz w:val="20"/>
          <w:szCs w:val="20"/>
        </w:rPr>
        <w:t xml:space="preserve"> and shareholders of Vietnam Pharmaceutical Corporation </w:t>
      </w:r>
      <w:r>
        <w:rPr>
          <w:rFonts w:ascii="Arial" w:hAnsi="Arial" w:cs="Arial"/>
          <w:sz w:val="20"/>
          <w:szCs w:val="20"/>
        </w:rPr>
        <w:t>–</w:t>
      </w:r>
      <w:r w:rsidRPr="00126A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Joint Stock Company</w:t>
      </w:r>
      <w:r w:rsidRPr="00126AA0">
        <w:rPr>
          <w:rFonts w:ascii="Arial" w:hAnsi="Arial" w:cs="Arial"/>
          <w:sz w:val="20"/>
          <w:szCs w:val="20"/>
        </w:rPr>
        <w:t xml:space="preserve"> are responsible for implementing this </w:t>
      </w:r>
      <w:r>
        <w:rPr>
          <w:rFonts w:ascii="Arial" w:hAnsi="Arial" w:cs="Arial"/>
          <w:sz w:val="20"/>
          <w:szCs w:val="20"/>
        </w:rPr>
        <w:t xml:space="preserve">annual General Mandate </w:t>
      </w:r>
    </w:p>
    <w:sectPr w:rsidR="0012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310"/>
    <w:multiLevelType w:val="hybridMultilevel"/>
    <w:tmpl w:val="894A7CD6"/>
    <w:lvl w:ilvl="0" w:tplc="DFC4E3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1DF8"/>
    <w:rsid w:val="00007B2E"/>
    <w:rsid w:val="00015B80"/>
    <w:rsid w:val="00022849"/>
    <w:rsid w:val="000266C2"/>
    <w:rsid w:val="000365C1"/>
    <w:rsid w:val="00050E3D"/>
    <w:rsid w:val="000603A9"/>
    <w:rsid w:val="00066452"/>
    <w:rsid w:val="00066EE1"/>
    <w:rsid w:val="00075754"/>
    <w:rsid w:val="00085D47"/>
    <w:rsid w:val="000A0B74"/>
    <w:rsid w:val="000A39AA"/>
    <w:rsid w:val="000A58A2"/>
    <w:rsid w:val="000A6020"/>
    <w:rsid w:val="000B6969"/>
    <w:rsid w:val="000C4127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26AA0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71CC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2433A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006"/>
    <w:rsid w:val="002E43D7"/>
    <w:rsid w:val="002E76E5"/>
    <w:rsid w:val="002E7FD0"/>
    <w:rsid w:val="002F68A9"/>
    <w:rsid w:val="00304722"/>
    <w:rsid w:val="0030503E"/>
    <w:rsid w:val="0031274D"/>
    <w:rsid w:val="00320096"/>
    <w:rsid w:val="0032185B"/>
    <w:rsid w:val="00327CF7"/>
    <w:rsid w:val="00336B31"/>
    <w:rsid w:val="0033774A"/>
    <w:rsid w:val="00341F2F"/>
    <w:rsid w:val="00353428"/>
    <w:rsid w:val="0037607E"/>
    <w:rsid w:val="00377A53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C7694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3BB6"/>
    <w:rsid w:val="0044702D"/>
    <w:rsid w:val="004530A7"/>
    <w:rsid w:val="00453C9C"/>
    <w:rsid w:val="00456307"/>
    <w:rsid w:val="00467BC0"/>
    <w:rsid w:val="0047038B"/>
    <w:rsid w:val="00490B2B"/>
    <w:rsid w:val="00496733"/>
    <w:rsid w:val="004A554D"/>
    <w:rsid w:val="004B2BA6"/>
    <w:rsid w:val="004B4798"/>
    <w:rsid w:val="004C144F"/>
    <w:rsid w:val="004E4C16"/>
    <w:rsid w:val="004E73CA"/>
    <w:rsid w:val="00503DD6"/>
    <w:rsid w:val="00505065"/>
    <w:rsid w:val="0052379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B1FDE"/>
    <w:rsid w:val="005B347F"/>
    <w:rsid w:val="005B40E5"/>
    <w:rsid w:val="005C57E0"/>
    <w:rsid w:val="005D3B3C"/>
    <w:rsid w:val="005D7F9C"/>
    <w:rsid w:val="005E7B32"/>
    <w:rsid w:val="005F7ED5"/>
    <w:rsid w:val="006000D8"/>
    <w:rsid w:val="00611271"/>
    <w:rsid w:val="0063035E"/>
    <w:rsid w:val="0063581B"/>
    <w:rsid w:val="006374A1"/>
    <w:rsid w:val="006374B1"/>
    <w:rsid w:val="00641E78"/>
    <w:rsid w:val="00653D82"/>
    <w:rsid w:val="00662E88"/>
    <w:rsid w:val="00664834"/>
    <w:rsid w:val="00677CB8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076A6"/>
    <w:rsid w:val="00710F35"/>
    <w:rsid w:val="007218D0"/>
    <w:rsid w:val="007228FB"/>
    <w:rsid w:val="00732DC3"/>
    <w:rsid w:val="007332B1"/>
    <w:rsid w:val="007336C9"/>
    <w:rsid w:val="0073373F"/>
    <w:rsid w:val="00744587"/>
    <w:rsid w:val="00745D9A"/>
    <w:rsid w:val="00747AF7"/>
    <w:rsid w:val="00750F3E"/>
    <w:rsid w:val="00757555"/>
    <w:rsid w:val="00764908"/>
    <w:rsid w:val="0077456B"/>
    <w:rsid w:val="00781EB4"/>
    <w:rsid w:val="00795480"/>
    <w:rsid w:val="007A072F"/>
    <w:rsid w:val="007A1FCC"/>
    <w:rsid w:val="007A3C3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0919"/>
    <w:rsid w:val="00837771"/>
    <w:rsid w:val="0084142F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961B3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B4ADE"/>
    <w:rsid w:val="00AC128D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7330"/>
    <w:rsid w:val="00B70D7E"/>
    <w:rsid w:val="00B7158A"/>
    <w:rsid w:val="00B738DF"/>
    <w:rsid w:val="00B7408A"/>
    <w:rsid w:val="00B9656C"/>
    <w:rsid w:val="00BA1F12"/>
    <w:rsid w:val="00BA2434"/>
    <w:rsid w:val="00BA2DBC"/>
    <w:rsid w:val="00BA3FB7"/>
    <w:rsid w:val="00BB149F"/>
    <w:rsid w:val="00BB2980"/>
    <w:rsid w:val="00BB7147"/>
    <w:rsid w:val="00BD3CCA"/>
    <w:rsid w:val="00BD6721"/>
    <w:rsid w:val="00BD6969"/>
    <w:rsid w:val="00BF0485"/>
    <w:rsid w:val="00C12EC1"/>
    <w:rsid w:val="00C220E2"/>
    <w:rsid w:val="00C2280B"/>
    <w:rsid w:val="00C26F1A"/>
    <w:rsid w:val="00C32F3A"/>
    <w:rsid w:val="00C33F82"/>
    <w:rsid w:val="00C357D3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3881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46DA"/>
    <w:rsid w:val="00E17016"/>
    <w:rsid w:val="00E20A0F"/>
    <w:rsid w:val="00E24F0A"/>
    <w:rsid w:val="00E27923"/>
    <w:rsid w:val="00E47B26"/>
    <w:rsid w:val="00E51F4E"/>
    <w:rsid w:val="00E53A5C"/>
    <w:rsid w:val="00E5565D"/>
    <w:rsid w:val="00E62FE1"/>
    <w:rsid w:val="00E65132"/>
    <w:rsid w:val="00E7691C"/>
    <w:rsid w:val="00E96289"/>
    <w:rsid w:val="00E96D65"/>
    <w:rsid w:val="00EA4C28"/>
    <w:rsid w:val="00EC36C7"/>
    <w:rsid w:val="00EC37DE"/>
    <w:rsid w:val="00ED3B40"/>
    <w:rsid w:val="00ED6D41"/>
    <w:rsid w:val="00EF091F"/>
    <w:rsid w:val="00EF47D6"/>
    <w:rsid w:val="00F268FB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77B4F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FC32F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287</cp:revision>
  <dcterms:created xsi:type="dcterms:W3CDTF">2019-10-16T10:03:00Z</dcterms:created>
  <dcterms:modified xsi:type="dcterms:W3CDTF">2020-05-31T09:51:00Z</dcterms:modified>
</cp:coreProperties>
</file>